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09" w:rsidRPr="00CE2041" w:rsidRDefault="00422709" w:rsidP="00422709">
      <w:pPr>
        <w:shd w:val="clear" w:color="auto" w:fill="FFFFFF"/>
        <w:spacing w:before="240" w:after="240" w:line="240" w:lineRule="auto"/>
        <w:jc w:val="center"/>
        <w:outlineLvl w:val="2"/>
        <w:rPr>
          <w:rFonts w:asciiTheme="majorHAnsi" w:eastAsia="Times New Roman" w:hAnsiTheme="majorHAnsi" w:cs="Arial"/>
          <w:b/>
          <w:bCs/>
          <w:iCs/>
          <w:color w:val="252525"/>
          <w:sz w:val="28"/>
          <w:szCs w:val="28"/>
          <w:lang w:eastAsia="el-GR"/>
        </w:rPr>
      </w:pPr>
      <w:r w:rsidRPr="00CE2041">
        <w:rPr>
          <w:rFonts w:asciiTheme="majorHAnsi" w:eastAsia="Times New Roman" w:hAnsiTheme="majorHAnsi" w:cs="Arial"/>
          <w:b/>
          <w:bCs/>
          <w:iCs/>
          <w:color w:val="252525"/>
          <w:sz w:val="28"/>
          <w:szCs w:val="28"/>
          <w:lang w:eastAsia="el-GR"/>
        </w:rPr>
        <w:t>ΑΝΑΚΟΙΝΩΣΗ ΓΙΑ ΤΗ  ΔΙΕΝΕΡΓΕΙΑ ΚΑΤΑΤΑΚΤΗΡΙΩΝ ΕΞΕΤΑΣΕΩΝ ΑΚ. ΕΤΟΥΣ 2</w:t>
      </w:r>
      <w:r>
        <w:rPr>
          <w:rFonts w:asciiTheme="majorHAnsi" w:eastAsia="Times New Roman" w:hAnsiTheme="majorHAnsi" w:cs="Arial"/>
          <w:b/>
          <w:bCs/>
          <w:iCs/>
          <w:color w:val="252525"/>
          <w:sz w:val="28"/>
          <w:szCs w:val="28"/>
          <w:lang w:eastAsia="el-GR"/>
        </w:rPr>
        <w:t>3-24</w:t>
      </w:r>
    </w:p>
    <w:p w:rsidR="00422709" w:rsidRDefault="00422709" w:rsidP="00422709">
      <w:pPr>
        <w:spacing w:after="0" w:line="240" w:lineRule="auto"/>
        <w:jc w:val="both"/>
        <w:rPr>
          <w:rFonts w:asciiTheme="majorHAnsi" w:eastAsia="Times New Roman" w:hAnsiTheme="majorHAnsi" w:cs="Times New Roman"/>
          <w:b/>
          <w:sz w:val="28"/>
          <w:szCs w:val="28"/>
          <w:lang w:eastAsia="el-GR"/>
        </w:rPr>
      </w:pPr>
    </w:p>
    <w:p w:rsidR="00422709" w:rsidRPr="0007672F" w:rsidRDefault="00422709" w:rsidP="00422709">
      <w:pPr>
        <w:spacing w:after="0" w:line="240" w:lineRule="auto"/>
        <w:jc w:val="both"/>
        <w:rPr>
          <w:rFonts w:asciiTheme="majorHAnsi" w:eastAsia="Times New Roman" w:hAnsiTheme="majorHAnsi" w:cs="Times New Roman"/>
          <w:b/>
          <w:sz w:val="28"/>
          <w:szCs w:val="28"/>
          <w:lang w:eastAsia="el-GR"/>
        </w:rPr>
      </w:pPr>
      <w:r w:rsidRPr="0007672F">
        <w:rPr>
          <w:rFonts w:asciiTheme="majorHAnsi" w:eastAsia="Times New Roman" w:hAnsiTheme="majorHAnsi" w:cs="Times New Roman"/>
          <w:b/>
          <w:sz w:val="28"/>
          <w:szCs w:val="28"/>
          <w:lang w:eastAsia="el-GR"/>
        </w:rPr>
        <w:t xml:space="preserve">ΠΡΟΓΡΑΜΜΑ ΕΞΕΤΑΣΕΩΝ </w:t>
      </w:r>
    </w:p>
    <w:p w:rsidR="00422709" w:rsidRDefault="00422709" w:rsidP="00422709">
      <w:pPr>
        <w:spacing w:after="0" w:line="240" w:lineRule="auto"/>
        <w:jc w:val="both"/>
        <w:rPr>
          <w:rFonts w:asciiTheme="majorHAnsi" w:eastAsia="Times New Roman" w:hAnsiTheme="majorHAnsi" w:cs="Times New Roman"/>
          <w:b/>
          <w:sz w:val="24"/>
          <w:szCs w:val="24"/>
          <w:lang w:eastAsia="el-GR"/>
        </w:rPr>
      </w:pPr>
    </w:p>
    <w:p w:rsidR="00422709" w:rsidRPr="00540337" w:rsidRDefault="00422709" w:rsidP="00422709">
      <w:pPr>
        <w:spacing w:after="0" w:line="240" w:lineRule="auto"/>
        <w:ind w:left="720"/>
        <w:jc w:val="both"/>
        <w:rPr>
          <w:rFonts w:asciiTheme="majorHAnsi" w:eastAsia="Times New Roman" w:hAnsiTheme="majorHAnsi" w:cs="Times New Roman"/>
          <w:sz w:val="24"/>
          <w:szCs w:val="24"/>
          <w:lang w:eastAsia="el-GR"/>
        </w:rPr>
      </w:pPr>
    </w:p>
    <w:tbl>
      <w:tblPr>
        <w:tblStyle w:val="a3"/>
        <w:tblW w:w="8364" w:type="dxa"/>
        <w:tblInd w:w="108" w:type="dxa"/>
        <w:tblLayout w:type="fixed"/>
        <w:tblLook w:val="04A0" w:firstRow="1" w:lastRow="0" w:firstColumn="1" w:lastColumn="0" w:noHBand="0" w:noVBand="1"/>
      </w:tblPr>
      <w:tblGrid>
        <w:gridCol w:w="4678"/>
        <w:gridCol w:w="3686"/>
      </w:tblGrid>
      <w:tr w:rsidR="00422709" w:rsidRPr="00540337" w:rsidTr="00927C53">
        <w:tc>
          <w:tcPr>
            <w:tcW w:w="4678" w:type="dxa"/>
          </w:tcPr>
          <w:p w:rsidR="00422709" w:rsidRPr="00435BB6" w:rsidRDefault="00422709" w:rsidP="00927C53">
            <w:pPr>
              <w:jc w:val="center"/>
              <w:rPr>
                <w:rFonts w:asciiTheme="majorHAnsi" w:eastAsia="Times New Roman" w:hAnsiTheme="majorHAnsi" w:cs="Times New Roman"/>
                <w:b/>
                <w:lang w:eastAsia="el-GR"/>
              </w:rPr>
            </w:pPr>
            <w:r w:rsidRPr="00435BB6">
              <w:rPr>
                <w:rFonts w:asciiTheme="majorHAnsi" w:eastAsia="Times New Roman" w:hAnsiTheme="majorHAnsi" w:cs="Times New Roman"/>
                <w:b/>
                <w:lang w:eastAsia="el-GR"/>
              </w:rPr>
              <w:t>Μάθημα</w:t>
            </w:r>
          </w:p>
        </w:tc>
        <w:tc>
          <w:tcPr>
            <w:tcW w:w="3686" w:type="dxa"/>
          </w:tcPr>
          <w:p w:rsidR="00422709" w:rsidRPr="00435BB6" w:rsidRDefault="00422709" w:rsidP="00927C53">
            <w:pPr>
              <w:jc w:val="center"/>
              <w:rPr>
                <w:rFonts w:asciiTheme="majorHAnsi" w:eastAsia="Times New Roman" w:hAnsiTheme="majorHAnsi" w:cs="Times New Roman"/>
                <w:b/>
                <w:lang w:eastAsia="el-GR"/>
              </w:rPr>
            </w:pPr>
            <w:proofErr w:type="spellStart"/>
            <w:r w:rsidRPr="00435BB6">
              <w:rPr>
                <w:rFonts w:asciiTheme="majorHAnsi" w:eastAsia="Times New Roman" w:hAnsiTheme="majorHAnsi" w:cs="Times New Roman"/>
                <w:b/>
                <w:lang w:eastAsia="el-GR"/>
              </w:rPr>
              <w:t>Ημ</w:t>
            </w:r>
            <w:proofErr w:type="spellEnd"/>
            <w:r w:rsidRPr="00435BB6">
              <w:rPr>
                <w:rFonts w:asciiTheme="majorHAnsi" w:eastAsia="Times New Roman" w:hAnsiTheme="majorHAnsi" w:cs="Times New Roman"/>
                <w:b/>
                <w:lang w:eastAsia="el-GR"/>
              </w:rPr>
              <w:t>. Εξέτασης</w:t>
            </w:r>
          </w:p>
        </w:tc>
      </w:tr>
      <w:tr w:rsidR="00422709" w:rsidRPr="00540337" w:rsidTr="00927C53">
        <w:tc>
          <w:tcPr>
            <w:tcW w:w="4678" w:type="dxa"/>
          </w:tcPr>
          <w:p w:rsidR="00422709" w:rsidRPr="00435BB6" w:rsidRDefault="00422709" w:rsidP="00927C53">
            <w:pPr>
              <w:jc w:val="both"/>
              <w:rPr>
                <w:rFonts w:asciiTheme="majorHAnsi" w:eastAsia="Times New Roman" w:hAnsiTheme="majorHAnsi" w:cs="Times New Roman"/>
                <w:lang w:eastAsia="el-GR"/>
              </w:rPr>
            </w:pPr>
            <w:r w:rsidRPr="00435BB6">
              <w:rPr>
                <w:rFonts w:asciiTheme="majorHAnsi" w:eastAsia="Times New Roman" w:hAnsiTheme="majorHAnsi" w:cs="Times New Roman"/>
                <w:lang w:eastAsia="el-GR"/>
              </w:rPr>
              <w:t xml:space="preserve">Ανατομία </w:t>
            </w:r>
            <w:proofErr w:type="spellStart"/>
            <w:r w:rsidRPr="00435BB6">
              <w:rPr>
                <w:rFonts w:asciiTheme="majorHAnsi" w:eastAsia="Times New Roman" w:hAnsiTheme="majorHAnsi" w:cs="Times New Roman"/>
                <w:lang w:eastAsia="el-GR"/>
              </w:rPr>
              <w:t>Μυοσκελετικού</w:t>
            </w:r>
            <w:proofErr w:type="spellEnd"/>
            <w:r w:rsidRPr="00435BB6">
              <w:rPr>
                <w:rFonts w:asciiTheme="majorHAnsi" w:eastAsia="Times New Roman" w:hAnsiTheme="majorHAnsi" w:cs="Times New Roman"/>
                <w:lang w:eastAsia="el-GR"/>
              </w:rPr>
              <w:t xml:space="preserve"> Συστήματος</w:t>
            </w:r>
          </w:p>
          <w:p w:rsidR="00422709" w:rsidRPr="00435BB6" w:rsidRDefault="00422709" w:rsidP="00927C53">
            <w:pPr>
              <w:jc w:val="both"/>
              <w:rPr>
                <w:rFonts w:asciiTheme="majorHAnsi" w:eastAsia="Times New Roman" w:hAnsiTheme="majorHAnsi" w:cs="Times New Roman"/>
                <w:lang w:eastAsia="el-GR"/>
              </w:rPr>
            </w:pPr>
          </w:p>
        </w:tc>
        <w:tc>
          <w:tcPr>
            <w:tcW w:w="3686" w:type="dxa"/>
          </w:tcPr>
          <w:p w:rsidR="00422709" w:rsidRPr="00422709" w:rsidRDefault="00422709" w:rsidP="00927C53">
            <w:pPr>
              <w:jc w:val="center"/>
              <w:rPr>
                <w:rFonts w:asciiTheme="majorHAnsi" w:eastAsia="Times New Roman" w:hAnsiTheme="majorHAnsi" w:cs="Times New Roman"/>
                <w:lang w:eastAsia="el-GR"/>
              </w:rPr>
            </w:pPr>
            <w:r w:rsidRPr="00435BB6">
              <w:rPr>
                <w:rFonts w:asciiTheme="majorHAnsi" w:eastAsia="Times New Roman" w:hAnsiTheme="majorHAnsi" w:cs="Times New Roman"/>
                <w:lang w:eastAsia="el-GR"/>
              </w:rPr>
              <w:t xml:space="preserve">Δευτέρα </w:t>
            </w:r>
            <w:r>
              <w:rPr>
                <w:rFonts w:asciiTheme="majorHAnsi" w:eastAsia="Times New Roman" w:hAnsiTheme="majorHAnsi" w:cs="Times New Roman"/>
                <w:lang w:eastAsia="el-GR"/>
              </w:rPr>
              <w:t xml:space="preserve"> </w:t>
            </w:r>
            <w:r>
              <w:rPr>
                <w:rFonts w:asciiTheme="majorHAnsi" w:eastAsia="Times New Roman" w:hAnsiTheme="majorHAnsi" w:cs="Times New Roman"/>
                <w:lang w:eastAsia="el-GR"/>
              </w:rPr>
              <w:t>4</w:t>
            </w:r>
            <w:r>
              <w:rPr>
                <w:rFonts w:asciiTheme="majorHAnsi" w:eastAsia="Times New Roman" w:hAnsiTheme="majorHAnsi" w:cs="Times New Roman"/>
                <w:lang w:eastAsia="el-GR"/>
              </w:rPr>
              <w:t xml:space="preserve"> -12-2</w:t>
            </w:r>
            <w:r>
              <w:rPr>
                <w:rFonts w:asciiTheme="majorHAnsi" w:eastAsia="Times New Roman" w:hAnsiTheme="majorHAnsi" w:cs="Times New Roman"/>
                <w:lang w:eastAsia="el-GR"/>
              </w:rPr>
              <w:t>3</w:t>
            </w:r>
          </w:p>
          <w:p w:rsidR="00422709" w:rsidRDefault="00422709" w:rsidP="00927C53">
            <w:pPr>
              <w:jc w:val="center"/>
              <w:rPr>
                <w:rFonts w:asciiTheme="majorHAnsi" w:eastAsia="Times New Roman" w:hAnsiTheme="majorHAnsi" w:cs="Times New Roman"/>
                <w:lang w:eastAsia="el-GR"/>
              </w:rPr>
            </w:pPr>
            <w:r>
              <w:rPr>
                <w:rFonts w:asciiTheme="majorHAnsi" w:eastAsia="Times New Roman" w:hAnsiTheme="majorHAnsi" w:cs="Times New Roman"/>
                <w:lang w:eastAsia="el-GR"/>
              </w:rPr>
              <w:t>12:00-14:00</w:t>
            </w:r>
          </w:p>
          <w:p w:rsidR="00422709" w:rsidRPr="00435BB6" w:rsidRDefault="00422709" w:rsidP="00927C53">
            <w:pPr>
              <w:jc w:val="center"/>
              <w:rPr>
                <w:rFonts w:asciiTheme="majorHAnsi" w:eastAsia="Times New Roman" w:hAnsiTheme="majorHAnsi" w:cs="Times New Roman"/>
                <w:lang w:eastAsia="el-GR"/>
              </w:rPr>
            </w:pPr>
          </w:p>
        </w:tc>
      </w:tr>
      <w:tr w:rsidR="00422709" w:rsidRPr="00540337" w:rsidTr="00927C53">
        <w:tc>
          <w:tcPr>
            <w:tcW w:w="4678" w:type="dxa"/>
          </w:tcPr>
          <w:p w:rsidR="00422709" w:rsidRPr="00435BB6" w:rsidRDefault="00422709" w:rsidP="00927C53">
            <w:pPr>
              <w:jc w:val="both"/>
              <w:rPr>
                <w:rFonts w:asciiTheme="majorHAnsi" w:eastAsia="Times New Roman" w:hAnsiTheme="majorHAnsi" w:cs="Times New Roman"/>
                <w:lang w:eastAsia="el-GR"/>
              </w:rPr>
            </w:pPr>
            <w:r w:rsidRPr="00435BB6">
              <w:rPr>
                <w:rFonts w:asciiTheme="majorHAnsi" w:eastAsia="Times New Roman" w:hAnsiTheme="majorHAnsi" w:cs="Times New Roman"/>
                <w:lang w:eastAsia="el-GR"/>
              </w:rPr>
              <w:t>Ανατομία Νευρικού Συστήματος και Οργάνων</w:t>
            </w:r>
          </w:p>
          <w:p w:rsidR="00422709" w:rsidRPr="00435BB6" w:rsidRDefault="00422709" w:rsidP="00927C53">
            <w:pPr>
              <w:jc w:val="both"/>
              <w:rPr>
                <w:rFonts w:asciiTheme="majorHAnsi" w:eastAsia="Times New Roman" w:hAnsiTheme="majorHAnsi" w:cs="Times New Roman"/>
                <w:lang w:eastAsia="el-GR"/>
              </w:rPr>
            </w:pPr>
          </w:p>
        </w:tc>
        <w:tc>
          <w:tcPr>
            <w:tcW w:w="3686" w:type="dxa"/>
          </w:tcPr>
          <w:p w:rsidR="00422709" w:rsidRPr="00422709" w:rsidRDefault="00422709" w:rsidP="00927C53">
            <w:pPr>
              <w:jc w:val="center"/>
              <w:rPr>
                <w:rFonts w:asciiTheme="majorHAnsi" w:eastAsia="Times New Roman" w:hAnsiTheme="majorHAnsi" w:cs="Times New Roman"/>
                <w:lang w:eastAsia="el-GR"/>
              </w:rPr>
            </w:pPr>
            <w:r w:rsidRPr="00435BB6">
              <w:rPr>
                <w:rFonts w:asciiTheme="majorHAnsi" w:eastAsia="Times New Roman" w:hAnsiTheme="majorHAnsi" w:cs="Times New Roman"/>
                <w:lang w:eastAsia="el-GR"/>
              </w:rPr>
              <w:t xml:space="preserve">Τετάρτη </w:t>
            </w:r>
            <w:r>
              <w:rPr>
                <w:rFonts w:asciiTheme="majorHAnsi" w:eastAsia="Times New Roman" w:hAnsiTheme="majorHAnsi" w:cs="Times New Roman"/>
                <w:lang w:eastAsia="el-GR"/>
              </w:rPr>
              <w:t xml:space="preserve"> </w:t>
            </w:r>
            <w:r>
              <w:rPr>
                <w:rFonts w:asciiTheme="majorHAnsi" w:eastAsia="Times New Roman" w:hAnsiTheme="majorHAnsi" w:cs="Times New Roman"/>
                <w:lang w:eastAsia="el-GR"/>
              </w:rPr>
              <w:t>6</w:t>
            </w:r>
            <w:r>
              <w:rPr>
                <w:rFonts w:asciiTheme="majorHAnsi" w:eastAsia="Times New Roman" w:hAnsiTheme="majorHAnsi" w:cs="Times New Roman"/>
                <w:lang w:eastAsia="el-GR"/>
              </w:rPr>
              <w:t>-12-2</w:t>
            </w:r>
            <w:r>
              <w:rPr>
                <w:rFonts w:asciiTheme="majorHAnsi" w:eastAsia="Times New Roman" w:hAnsiTheme="majorHAnsi" w:cs="Times New Roman"/>
                <w:lang w:eastAsia="el-GR"/>
              </w:rPr>
              <w:t>3</w:t>
            </w:r>
          </w:p>
          <w:p w:rsidR="00422709" w:rsidRDefault="00422709" w:rsidP="00927C53">
            <w:pPr>
              <w:jc w:val="center"/>
              <w:rPr>
                <w:rFonts w:asciiTheme="majorHAnsi" w:eastAsia="Times New Roman" w:hAnsiTheme="majorHAnsi" w:cs="Times New Roman"/>
                <w:lang w:eastAsia="el-GR"/>
              </w:rPr>
            </w:pPr>
            <w:r>
              <w:rPr>
                <w:rFonts w:asciiTheme="majorHAnsi" w:eastAsia="Times New Roman" w:hAnsiTheme="majorHAnsi" w:cs="Times New Roman"/>
                <w:lang w:eastAsia="el-GR"/>
              </w:rPr>
              <w:t>12:00-14:00</w:t>
            </w:r>
          </w:p>
          <w:p w:rsidR="00422709" w:rsidRPr="00435BB6" w:rsidRDefault="00422709" w:rsidP="00927C53">
            <w:pPr>
              <w:jc w:val="center"/>
              <w:rPr>
                <w:rFonts w:asciiTheme="majorHAnsi" w:eastAsia="Times New Roman" w:hAnsiTheme="majorHAnsi" w:cs="Times New Roman"/>
                <w:lang w:eastAsia="el-GR"/>
              </w:rPr>
            </w:pPr>
          </w:p>
        </w:tc>
      </w:tr>
      <w:tr w:rsidR="00422709" w:rsidRPr="00540337" w:rsidTr="00927C53">
        <w:tc>
          <w:tcPr>
            <w:tcW w:w="4678" w:type="dxa"/>
          </w:tcPr>
          <w:p w:rsidR="00422709" w:rsidRPr="00435BB6" w:rsidRDefault="00422709" w:rsidP="00927C53">
            <w:pPr>
              <w:jc w:val="both"/>
              <w:rPr>
                <w:rFonts w:asciiTheme="majorHAnsi" w:eastAsia="Times New Roman" w:hAnsiTheme="majorHAnsi" w:cs="Times New Roman"/>
                <w:lang w:eastAsia="el-GR"/>
              </w:rPr>
            </w:pPr>
            <w:r w:rsidRPr="00435BB6">
              <w:rPr>
                <w:rFonts w:asciiTheme="majorHAnsi" w:eastAsia="Times New Roman" w:hAnsiTheme="majorHAnsi" w:cs="Times New Roman"/>
                <w:lang w:eastAsia="el-GR"/>
              </w:rPr>
              <w:t>Φυσιολογία</w:t>
            </w:r>
          </w:p>
          <w:p w:rsidR="00422709" w:rsidRPr="00435BB6" w:rsidRDefault="00422709" w:rsidP="00927C53">
            <w:pPr>
              <w:jc w:val="both"/>
              <w:rPr>
                <w:rFonts w:asciiTheme="majorHAnsi" w:eastAsia="Times New Roman" w:hAnsiTheme="majorHAnsi" w:cs="Times New Roman"/>
                <w:lang w:eastAsia="el-GR"/>
              </w:rPr>
            </w:pPr>
          </w:p>
          <w:p w:rsidR="00422709" w:rsidRPr="00435BB6" w:rsidRDefault="00422709" w:rsidP="00927C53">
            <w:pPr>
              <w:jc w:val="both"/>
              <w:rPr>
                <w:rFonts w:asciiTheme="majorHAnsi" w:eastAsia="Times New Roman" w:hAnsiTheme="majorHAnsi" w:cs="Times New Roman"/>
                <w:lang w:eastAsia="el-GR"/>
              </w:rPr>
            </w:pPr>
          </w:p>
        </w:tc>
        <w:tc>
          <w:tcPr>
            <w:tcW w:w="3686" w:type="dxa"/>
          </w:tcPr>
          <w:p w:rsidR="00422709" w:rsidRPr="00422709" w:rsidRDefault="00422709" w:rsidP="00927C53">
            <w:pPr>
              <w:jc w:val="center"/>
              <w:rPr>
                <w:rFonts w:asciiTheme="majorHAnsi" w:eastAsia="Times New Roman" w:hAnsiTheme="majorHAnsi" w:cs="Times New Roman"/>
                <w:lang w:eastAsia="el-GR"/>
              </w:rPr>
            </w:pPr>
            <w:r>
              <w:rPr>
                <w:rFonts w:asciiTheme="majorHAnsi" w:eastAsia="Times New Roman" w:hAnsiTheme="majorHAnsi" w:cs="Times New Roman"/>
                <w:lang w:eastAsia="el-GR"/>
              </w:rPr>
              <w:t xml:space="preserve">Παρασκευή </w:t>
            </w:r>
            <w:r>
              <w:rPr>
                <w:rFonts w:asciiTheme="majorHAnsi" w:eastAsia="Times New Roman" w:hAnsiTheme="majorHAnsi" w:cs="Times New Roman"/>
                <w:lang w:eastAsia="el-GR"/>
              </w:rPr>
              <w:t>8</w:t>
            </w:r>
            <w:r>
              <w:rPr>
                <w:rFonts w:asciiTheme="majorHAnsi" w:eastAsia="Times New Roman" w:hAnsiTheme="majorHAnsi" w:cs="Times New Roman"/>
                <w:lang w:eastAsia="el-GR"/>
              </w:rPr>
              <w:t>-12-2</w:t>
            </w:r>
            <w:r>
              <w:rPr>
                <w:rFonts w:asciiTheme="majorHAnsi" w:eastAsia="Times New Roman" w:hAnsiTheme="majorHAnsi" w:cs="Times New Roman"/>
                <w:lang w:eastAsia="el-GR"/>
              </w:rPr>
              <w:t>3</w:t>
            </w:r>
            <w:bookmarkStart w:id="0" w:name="_GoBack"/>
            <w:bookmarkEnd w:id="0"/>
          </w:p>
          <w:p w:rsidR="00422709" w:rsidRPr="00435BB6" w:rsidRDefault="00422709" w:rsidP="00927C53">
            <w:pPr>
              <w:jc w:val="center"/>
              <w:rPr>
                <w:rFonts w:asciiTheme="majorHAnsi" w:eastAsia="Times New Roman" w:hAnsiTheme="majorHAnsi" w:cs="Times New Roman"/>
                <w:lang w:eastAsia="el-GR"/>
              </w:rPr>
            </w:pPr>
            <w:r>
              <w:rPr>
                <w:rFonts w:asciiTheme="majorHAnsi" w:eastAsia="Times New Roman" w:hAnsiTheme="majorHAnsi" w:cs="Times New Roman"/>
                <w:lang w:eastAsia="el-GR"/>
              </w:rPr>
              <w:t>12:00-14:00</w:t>
            </w:r>
          </w:p>
        </w:tc>
      </w:tr>
    </w:tbl>
    <w:p w:rsidR="00422709" w:rsidRDefault="00422709" w:rsidP="00422709">
      <w:pPr>
        <w:spacing w:after="0" w:line="240" w:lineRule="auto"/>
        <w:jc w:val="both"/>
        <w:rPr>
          <w:rFonts w:asciiTheme="majorHAnsi" w:eastAsia="Times New Roman" w:hAnsiTheme="majorHAnsi" w:cs="Times New Roman"/>
          <w:sz w:val="24"/>
          <w:szCs w:val="24"/>
          <w:lang w:eastAsia="el-GR"/>
        </w:rPr>
      </w:pPr>
    </w:p>
    <w:p w:rsidR="00422709" w:rsidRDefault="00422709" w:rsidP="00422709">
      <w:pPr>
        <w:spacing w:after="0" w:line="240" w:lineRule="auto"/>
        <w:jc w:val="both"/>
        <w:rPr>
          <w:rFonts w:asciiTheme="majorHAnsi" w:eastAsia="Times New Roman" w:hAnsiTheme="majorHAnsi" w:cs="Times New Roman"/>
          <w:sz w:val="24"/>
          <w:szCs w:val="24"/>
          <w:lang w:eastAsia="el-GR"/>
        </w:rPr>
      </w:pP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b/>
          <w:bCs/>
          <w:color w:val="252525"/>
          <w:sz w:val="24"/>
          <w:szCs w:val="24"/>
          <w:lang w:eastAsia="el-GR"/>
        </w:rPr>
        <w:t>Τρόπος διεξαγωγής εξετάσεων</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t>α) Στις αίθουσες όπου θα διενεργηθούν οι κατατακτήριες εξετάσεις λαμβάνονται όλα τα κατάλληλα μέτρα για την αδιάβλητη διεξαγωγή τους. Στην είσοδο κάθε αίθουσας εξετάσεων αναρτάται ονομαστικός κατάλογος των υποψηφίων.</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t>β) Για την εξακρίβωση της ταυτότητας κάθε υποψηφίου προσκομίζεται από αυτόν δελτίο αστυνομικής ταυτότητας ή άλλο επίσημο δημόσιο έγγραφο πιστοποίησης της ταυτότητάς του.</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t>γ) Κατά την πρώτη ημέρα των εξετάσεων οι υποψήφιοι υποχρεούνται να βρίσκονται στο χώρο των εξετάσεων μία (1) ώρα νωρίτερα. Τις υπόλοιπες ημέρες, υποχρεούνται να προσέρχονται μισή ώρα (30 λεπτά) νωρίτερα.</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t>δ) Χρωματιστά μελάνια, εκτός του μπλε και του μαύρου, και οποιοδήποτε άλλο στοιχείο αναγνώρισης στο γραπτό δοκίμιο αποκλείουν το γραπτό από τη βαθμολόγηση.</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t>ε) Κάθε υποψήφιος που εγκαταλείπει την αίθουσα παραδίδει το γραπτό του και δεν έχει δικαίωμα να επανέλθει για τη συνέχιση της εξέτασης. Κατ' εξαίρεση, μόνο για λόγους υγείας επιτρέπεται ολιγόλεπτη εγκατάλειψη της αίθουσας και μόνο με τη συνοδεία επιτηρητή.</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t>στ) Δεν επιτρέπεται να εισέλθει ο υποψήφιος στην αίθουσα των εξετάσεων έχοντας μαζί του βιβλία, τετράδια, σημειώματα ή άλλα αντικείμενα εκτός από αυτά που επιτρέπονται σύμφωνα με τις οδηγίες της Επιτροπής Κατατάξεων. Σε αυτόν που αρνείται να παραδώσει τα απαγορευμένα αντικείμενα, ο επιτηρητής που ελέγχει την προσέλευση των υποψηφίων απαγορεύει την είσοδο.</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lastRenderedPageBreak/>
        <w:t>Ο εξεταζόμενος που έχει μαζί του σημειώσεις σχετικές με το εξεταζόμενο μάθημα ή αντικείμενο άλλο από αυτά που επιτρέπονται ή αντιγράφει ή αποπειράται να αντιγράψει ή χρησιμοποιεί κάθε είδους μέσο υποκλοπής ή συνεργεί στην τέλεση τέτοιων πράξεων αποκλείεται εντελώς από τις εξετάσεις του συγκεκριμένου μαθήματος.</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t>Σε περίπτωση που ο υποψήφιος αναγράφει στο δοκίμιο απρεπείς εκφράσεις, το δοκίμιό του αποκλείεται από τη διαδικασία βαθμολόγησης.</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t>Σε κάθε περίπτωση δεν επιτρέπεται οι υποψήφιοι να φέρουν μαζί τους κινητά τηλέφωνα ή ηλεκτρονικές συσκευές οποιασδήποτε μορφής.</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t xml:space="preserve">Ο υποψήφιος που </w:t>
      </w:r>
      <w:proofErr w:type="spellStart"/>
      <w:r w:rsidRPr="00E759EC">
        <w:rPr>
          <w:rFonts w:asciiTheme="majorHAnsi" w:eastAsia="Times New Roman" w:hAnsiTheme="majorHAnsi" w:cs="Arial"/>
          <w:color w:val="252525"/>
          <w:sz w:val="24"/>
          <w:szCs w:val="24"/>
          <w:lang w:eastAsia="el-GR"/>
        </w:rPr>
        <w:t>δολιεύει</w:t>
      </w:r>
      <w:proofErr w:type="spellEnd"/>
      <w:r w:rsidRPr="00E759EC">
        <w:rPr>
          <w:rFonts w:asciiTheme="majorHAnsi" w:eastAsia="Times New Roman" w:hAnsiTheme="majorHAnsi" w:cs="Arial"/>
          <w:color w:val="252525"/>
          <w:sz w:val="24"/>
          <w:szCs w:val="24"/>
          <w:lang w:eastAsia="el-GR"/>
        </w:rPr>
        <w:t xml:space="preserve"> με οποιοδήποτε τρόπο ή εμποδίζει με ανυπακοή ή αταξία την ομαλή διεξαγωγή των εξετάσεων αποκλείεται από την περαιτέρω εξέταση στο συγκεκριμένο μάθημα.</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t>ζ) Στο γραπτό δοκίμιο, οι ενδείξεις με τα ατομικά στοιχεία του υποψηφίου ελέγχονται από τους επιτηρητές και καλύπτονται από τον ίδιο τον υποψήφιο με την ευθύνη των επιτηρητών κατά τρόπο απόλυτο και αδιαφανή, την ώρα που παραδίδεται κάθε γραπτό δοκίμιο.</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t>η) Οι επιτηρητές μεταφέρουν τα γραπτά δοκίμια των υποψηφίων και τα παραδίδουν στην Επιτροπή Κατατάξεων που είναι υπεύθυνη για την ασφάλειά τους. Δεν επιτρέπεται να παραδοθούν τα δοκίμια στους δύο βαθμολογητές ταυτόχρονα ή στο δεύτερο βαθμολογητή πριν να έχει καλυφθεί ο βαθμός του πρώτου βαθμολογητή. Η κάλυψη του βαθμού γίνεται από υπάλληλο που θα οριστεί από την Επιτροπή Κατατάξεων.</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t>θ) Η διάρκεια εξέτασης κάθε μαθήματος, καθώς και τυχόν υλικό που πρέπει να έχει ο υποψήφιος για την εξέταση, καθορίζονται με απόφαση της Συνέλευση</w:t>
      </w:r>
      <w:r>
        <w:rPr>
          <w:rFonts w:asciiTheme="majorHAnsi" w:eastAsia="Times New Roman" w:hAnsiTheme="majorHAnsi" w:cs="Arial"/>
          <w:color w:val="252525"/>
          <w:sz w:val="24"/>
          <w:szCs w:val="24"/>
          <w:lang w:eastAsia="el-GR"/>
        </w:rPr>
        <w:t>ς του Τμήματος του Πανεπιστημίου</w:t>
      </w:r>
      <w:r w:rsidRPr="00E759EC">
        <w:rPr>
          <w:rFonts w:asciiTheme="majorHAnsi" w:eastAsia="Times New Roman" w:hAnsiTheme="majorHAnsi" w:cs="Arial"/>
          <w:color w:val="252525"/>
          <w:sz w:val="24"/>
          <w:szCs w:val="24"/>
          <w:lang w:eastAsia="el-GR"/>
        </w:rPr>
        <w:t xml:space="preserve"> και ανακοινώνονται τουλάχιστον πέντε (5) ημέρες πριν τη διεξαγωγή της εξέτασης.</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t>ι) Επανεξέταση ή αναθεώρηση των γραπτών δοκιμίων των υποψηφίων δεν επιτρέπεται. Οι υποψήφιοι έχουν δικαίωμα πρόσβασης στα γραπτά δοκίμιά τους το οποίο περιλαμβάνει και τη χορήγηση σε αυτούς των αιτηθέντων αντιγράφων τους. Τα γραπτά δοκίμια των υποψηφίων φυλάσσονται στο αρχείο του Τμήματος για τουλάχιστον ένα (1) έτος μετά την ανακοίνωση των αποτελεσμάτων και κατόπιν με ευθύνη της Επιτροπής Κατατάξεων συντάσσεται σχετικό πρακτικό και καταστρέφονται.</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t>ια) Η Επιτροπή Κατατάξεων ανακοινώνει τα αποτελέσματα των εξετάσεων και τα αναρτά στην επίσημη ιστοσελίδα του Ιδρύματος.</w:t>
      </w:r>
    </w:p>
    <w:p w:rsidR="00422709" w:rsidRPr="00E759EC" w:rsidRDefault="00422709" w:rsidP="00422709">
      <w:pPr>
        <w:shd w:val="clear" w:color="auto" w:fill="FFFFFF"/>
        <w:spacing w:before="192" w:after="192" w:line="240" w:lineRule="auto"/>
        <w:jc w:val="both"/>
        <w:rPr>
          <w:rFonts w:asciiTheme="majorHAnsi" w:eastAsia="Times New Roman" w:hAnsiTheme="majorHAnsi" w:cs="Arial"/>
          <w:color w:val="252525"/>
          <w:sz w:val="24"/>
          <w:szCs w:val="24"/>
          <w:lang w:eastAsia="el-GR"/>
        </w:rPr>
      </w:pPr>
      <w:r w:rsidRPr="00E759EC">
        <w:rPr>
          <w:rFonts w:asciiTheme="majorHAnsi" w:eastAsia="Times New Roman" w:hAnsiTheme="majorHAnsi" w:cs="Arial"/>
          <w:color w:val="252525"/>
          <w:sz w:val="24"/>
          <w:szCs w:val="24"/>
          <w:lang w:eastAsia="el-GR"/>
        </w:rPr>
        <w:t>ιβ) Η Γραμματεία του Τμήματος του Πανεπιστημίου ανακοινώνει τις ημερομηνίες εγγραφής των κατατασσόμενων.</w:t>
      </w:r>
    </w:p>
    <w:p w:rsidR="00422709" w:rsidRDefault="00422709" w:rsidP="00422709">
      <w:pPr>
        <w:shd w:val="clear" w:color="auto" w:fill="FFFFFF"/>
        <w:spacing w:before="192" w:after="192" w:line="240" w:lineRule="auto"/>
        <w:jc w:val="both"/>
      </w:pPr>
      <w:r w:rsidRPr="00E759EC">
        <w:rPr>
          <w:rFonts w:asciiTheme="majorHAnsi" w:eastAsia="Times New Roman" w:hAnsiTheme="majorHAnsi" w:cs="Arial"/>
          <w:color w:val="252525"/>
          <w:sz w:val="24"/>
          <w:szCs w:val="24"/>
          <w:lang w:eastAsia="el-GR"/>
        </w:rPr>
        <w:t>ιγ) Συνοπτική παρατήρηση για τον αποκλεισμό και η ένδειξη μηδέν (0) αντί βαθμού, αναγράφεται στα γραπτά δοκίμια όσων αποκλείστηκαν σε ένα ή περισσότερα μαθήματα.</w:t>
      </w:r>
    </w:p>
    <w:p w:rsidR="00273737" w:rsidRDefault="00273737"/>
    <w:sectPr w:rsidR="002737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09"/>
    <w:rsid w:val="00273737"/>
    <w:rsid w:val="004227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7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3525</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gramfys01</cp:lastModifiedBy>
  <cp:revision>1</cp:revision>
  <dcterms:created xsi:type="dcterms:W3CDTF">2023-11-16T07:42:00Z</dcterms:created>
  <dcterms:modified xsi:type="dcterms:W3CDTF">2023-11-16T07:43:00Z</dcterms:modified>
</cp:coreProperties>
</file>